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302EC7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MUNICIPIO TECALITLÁN</w:t>
            </w:r>
          </w:p>
          <w:p w:rsidR="00A45E83" w:rsidRPr="00C6688B" w:rsidRDefault="00302EC7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8"/>
                <w:szCs w:val="28"/>
              </w:rPr>
              <w:t>DEL 1 DE JULIO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02EC7" w:rsidRDefault="00302EC7" w:rsidP="0030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n-US"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En las metas planteadas para el ejercicio 2021 en lo que se refiere a bajar la tasa de morosidad del 2020 aumento un poco en el 2021 debido a que en 2020 se implementaron estrategias para apoyar a las personas a ponerse al corriente en cuanto al rezago de sus cuentas y en 2021 por motivos de la pandemia hubo escaso ingresos, no obstante se obtubo una buena recaudación.</w:t>
            </w:r>
          </w:p>
          <w:p w:rsidR="00302EC7" w:rsidRDefault="00302EC7" w:rsidP="0030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n-US" w:eastAsia="es-MX"/>
              </w:rPr>
            </w:pPr>
          </w:p>
          <w:p w:rsidR="00302EC7" w:rsidRDefault="00302EC7" w:rsidP="0030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n-U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n-US" w:eastAsia="es-MX"/>
              </w:rPr>
              <w:t>Y en la meta de satisfaccion de atencion a los ciudadanos en 2021 aumento la atención de solicitudes dandole al ciudadano atencion de calidad usando los cuidados necesarios como uso de cubrebocas y gel antibacterial para poder recibir las solicitudes de los ciudadanos y tratar de frenar el Covid-19. Siendo así, aumentaron las solicitudes de la ciudadania permitiendo mejorar la meta respecto al 2020 en cuanto atencion a las solicitudes recibidas y atendidas por parte de este gobierno municipal.</w:t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302EC7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MARTIN LARIOS GARCIA</w:t>
            </w:r>
          </w:p>
          <w:p w:rsidR="00937252" w:rsidRPr="00EB7BF7" w:rsidRDefault="00302EC7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302EC7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 ELIAS GOMEZ MACIAS</w:t>
            </w:r>
          </w:p>
          <w:p w:rsidR="00937252" w:rsidRPr="00EB7BF7" w:rsidRDefault="00302EC7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302EC7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ASEJ2021-16-13-06-2022-1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3006"/>
    <w:rsid w:val="00302EC7"/>
    <w:rsid w:val="007326BD"/>
    <w:rsid w:val="00806603"/>
    <w:rsid w:val="00937252"/>
    <w:rsid w:val="00A45E83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OEM</cp:lastModifiedBy>
  <cp:revision>4</cp:revision>
  <dcterms:created xsi:type="dcterms:W3CDTF">2020-05-27T16:09:00Z</dcterms:created>
  <dcterms:modified xsi:type="dcterms:W3CDTF">2022-06-13T17:14:00Z</dcterms:modified>
</cp:coreProperties>
</file>