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3DE" w:rsidRDefault="00AB73DE" w:rsidP="00AB73DE">
      <w:pPr>
        <w:spacing w:after="0"/>
        <w:jc w:val="center"/>
        <w:rPr>
          <w:rFonts w:ascii="AvenirNext LT Pro Regular" w:hAnsi="AvenirNext LT Pro Regular"/>
          <w:b/>
          <w:sz w:val="24"/>
        </w:rPr>
      </w:pPr>
      <w:r w:rsidRPr="00AB73DE">
        <w:rPr>
          <w:rFonts w:ascii="AvenirNext LT Pro Regular" w:hAnsi="AvenirNext LT Pro Regular"/>
          <w:b/>
          <w:sz w:val="24"/>
        </w:rPr>
        <w:t>PROGRAMA OPERATIVO</w:t>
      </w:r>
      <w:r>
        <w:rPr>
          <w:rFonts w:ascii="AvenirNext LT Pro Regular" w:hAnsi="AvenirNext LT Pro Regular"/>
          <w:b/>
          <w:sz w:val="24"/>
        </w:rPr>
        <w:t xml:space="preserve"> </w:t>
      </w:r>
      <w:r w:rsidRPr="00AB73DE">
        <w:rPr>
          <w:rFonts w:ascii="AvenirNext LT Pro Regular" w:hAnsi="AvenirNext LT Pro Regular"/>
          <w:b/>
          <w:sz w:val="24"/>
        </w:rPr>
        <w:t>ANUAL 2020</w:t>
      </w:r>
    </w:p>
    <w:p w:rsidR="00AB73DE" w:rsidRDefault="00AB73DE" w:rsidP="00B24E87">
      <w:pPr>
        <w:spacing w:after="240"/>
        <w:jc w:val="center"/>
        <w:rPr>
          <w:rFonts w:ascii="AvenirNext LT Pro Regular" w:hAnsi="AvenirNext LT Pro Regular"/>
          <w:b/>
          <w:sz w:val="24"/>
        </w:rPr>
      </w:pPr>
      <w:r>
        <w:rPr>
          <w:rFonts w:ascii="AvenirNext LT Pro Regular" w:hAnsi="AvenirNext LT Pro Regular"/>
          <w:b/>
          <w:sz w:val="24"/>
        </w:rPr>
        <w:t>Contraloría Municipal</w:t>
      </w:r>
    </w:p>
    <w:p w:rsidR="00AB73DE" w:rsidRDefault="00AB73DE" w:rsidP="00AB73DE">
      <w:pPr>
        <w:spacing w:after="0"/>
        <w:jc w:val="center"/>
        <w:rPr>
          <w:rFonts w:ascii="AvenirNext LT Pro Regular" w:hAnsi="AvenirNext LT Pro Regular"/>
          <w:b/>
          <w:sz w:val="24"/>
        </w:rPr>
      </w:pPr>
    </w:p>
    <w:p w:rsidR="00AB73DE" w:rsidRDefault="00AB73DE" w:rsidP="00AB73DE">
      <w:pPr>
        <w:spacing w:after="0"/>
        <w:rPr>
          <w:rFonts w:ascii="AvenirNext LT Pro Regular" w:hAnsi="AvenirNext LT Pro Regular"/>
          <w:b/>
          <w:sz w:val="24"/>
        </w:rPr>
      </w:pPr>
      <w:r>
        <w:rPr>
          <w:rFonts w:ascii="AvenirNext LT Pro Regular" w:hAnsi="AvenirNext LT Pro Regular"/>
          <w:b/>
          <w:sz w:val="24"/>
        </w:rPr>
        <w:t>Objetivo:</w:t>
      </w:r>
    </w:p>
    <w:p w:rsidR="00AB73DE" w:rsidRDefault="00AB73DE" w:rsidP="00AB73DE">
      <w:pPr>
        <w:spacing w:after="0"/>
        <w:rPr>
          <w:rFonts w:ascii="AvenirNext LT Pro Regular" w:hAnsi="AvenirNext LT Pro Regular"/>
          <w:b/>
          <w:sz w:val="24"/>
        </w:rPr>
      </w:pPr>
    </w:p>
    <w:p w:rsidR="00AB73DE" w:rsidRDefault="00AB73DE" w:rsidP="00AB73DE">
      <w:pPr>
        <w:spacing w:after="0"/>
        <w:jc w:val="both"/>
        <w:rPr>
          <w:rFonts w:ascii="AvenirNext LT Pro Regular" w:hAnsi="AvenirNext LT Pro Regular"/>
          <w:sz w:val="24"/>
        </w:rPr>
      </w:pPr>
      <w:r>
        <w:rPr>
          <w:rFonts w:ascii="AvenirNext LT Pro Regular" w:hAnsi="AvenirNext LT Pro Regular"/>
          <w:sz w:val="24"/>
        </w:rPr>
        <w:t>P</w:t>
      </w:r>
      <w:r w:rsidRPr="00AB73DE">
        <w:rPr>
          <w:rFonts w:ascii="AvenirNext LT Pro Regular" w:hAnsi="AvenirNext LT Pro Regular"/>
          <w:sz w:val="24"/>
        </w:rPr>
        <w:t xml:space="preserve">ropiciar un manejo eficaz y eficiente, que permita coadyuvar a satisfacer las legítimas necesidades de la sociedad, respecto al combate de la corrupción e impunidad en la administración pública de </w:t>
      </w:r>
      <w:proofErr w:type="spellStart"/>
      <w:r>
        <w:rPr>
          <w:rFonts w:ascii="AvenirNext LT Pro Regular" w:hAnsi="AvenirNext LT Pro Regular"/>
          <w:sz w:val="24"/>
        </w:rPr>
        <w:t>Tecalitlán</w:t>
      </w:r>
      <w:proofErr w:type="spellEnd"/>
      <w:r>
        <w:rPr>
          <w:rFonts w:ascii="AvenirNext LT Pro Regular" w:hAnsi="AvenirNext LT Pro Regular"/>
          <w:sz w:val="24"/>
        </w:rPr>
        <w:t xml:space="preserve"> Jalisco</w:t>
      </w:r>
      <w:r w:rsidRPr="00AB73DE">
        <w:rPr>
          <w:rFonts w:ascii="AvenirNext LT Pro Regular" w:hAnsi="AvenirNext LT Pro Regular"/>
          <w:sz w:val="24"/>
        </w:rPr>
        <w:t>.</w:t>
      </w:r>
    </w:p>
    <w:p w:rsidR="00AB73DE" w:rsidRDefault="00AB73DE" w:rsidP="00AB73DE">
      <w:pPr>
        <w:spacing w:after="0"/>
        <w:jc w:val="both"/>
        <w:rPr>
          <w:rFonts w:ascii="AvenirNext LT Pro Regular" w:hAnsi="AvenirNext LT Pro Regular"/>
          <w:sz w:val="24"/>
        </w:rPr>
      </w:pPr>
    </w:p>
    <w:p w:rsidR="00AB73DE" w:rsidRDefault="00AB73DE" w:rsidP="00AB73DE">
      <w:pPr>
        <w:spacing w:after="0"/>
        <w:jc w:val="both"/>
        <w:rPr>
          <w:rFonts w:ascii="AvenirNext LT Pro Regular" w:hAnsi="AvenirNext LT Pro Regular"/>
          <w:b/>
          <w:sz w:val="24"/>
        </w:rPr>
      </w:pPr>
      <w:r>
        <w:rPr>
          <w:rFonts w:ascii="AvenirNext LT Pro Regular" w:hAnsi="AvenirNext LT Pro Regular"/>
          <w:b/>
          <w:sz w:val="24"/>
        </w:rPr>
        <w:t>Estrategia:</w:t>
      </w:r>
    </w:p>
    <w:p w:rsidR="00AB73DE" w:rsidRDefault="00AB73DE" w:rsidP="00AB73DE">
      <w:pPr>
        <w:spacing w:after="0"/>
        <w:jc w:val="both"/>
        <w:rPr>
          <w:rFonts w:ascii="AvenirNext LT Pro Regular" w:hAnsi="AvenirNext LT Pro Regular"/>
          <w:b/>
          <w:sz w:val="24"/>
        </w:rPr>
      </w:pPr>
    </w:p>
    <w:p w:rsidR="00AB73DE" w:rsidRDefault="00AB73DE" w:rsidP="00A070E1">
      <w:pPr>
        <w:spacing w:after="120"/>
        <w:jc w:val="both"/>
        <w:rPr>
          <w:rFonts w:ascii="AvenirNext LT Pro Regular" w:hAnsi="AvenirNext LT Pro Regular"/>
          <w:sz w:val="24"/>
        </w:rPr>
      </w:pPr>
      <w:r w:rsidRPr="00AB73DE">
        <w:rPr>
          <w:rFonts w:ascii="AvenirNext LT Pro Regular" w:hAnsi="AvenirNext LT Pro Regular"/>
          <w:sz w:val="24"/>
        </w:rPr>
        <w:t>Generar políticas públicas para el cumplimiento de la normativa, así como las reglas de operación de los gastos derivado de los Programas Estatales, Federales o Municipales según corresponda la</w:t>
      </w:r>
      <w:r>
        <w:rPr>
          <w:rFonts w:ascii="AvenirNext LT Pro Regular" w:hAnsi="AvenirNext LT Pro Regular"/>
          <w:sz w:val="24"/>
        </w:rPr>
        <w:t xml:space="preserve"> naturaleza de su origen.</w:t>
      </w:r>
    </w:p>
    <w:p w:rsidR="00B97EE2" w:rsidRDefault="00B97EE2" w:rsidP="00AB73DE">
      <w:pPr>
        <w:spacing w:after="0"/>
        <w:jc w:val="both"/>
        <w:rPr>
          <w:rFonts w:ascii="AvenirNext LT Pro Regular" w:hAnsi="AvenirNext LT Pro Regular"/>
          <w:sz w:val="24"/>
        </w:rPr>
      </w:pP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41"/>
        <w:gridCol w:w="1151"/>
        <w:gridCol w:w="541"/>
        <w:gridCol w:w="1127"/>
      </w:tblGrid>
      <w:tr w:rsidR="00B24E87" w:rsidTr="00B24E87">
        <w:trPr>
          <w:trHeight w:val="375"/>
        </w:trPr>
        <w:tc>
          <w:tcPr>
            <w:tcW w:w="2694" w:type="dxa"/>
            <w:vAlign w:val="center"/>
          </w:tcPr>
          <w:p w:rsidR="00423921" w:rsidRPr="00B97EE2" w:rsidRDefault="00423921" w:rsidP="00423921">
            <w:pPr>
              <w:spacing w:after="0"/>
              <w:jc w:val="center"/>
              <w:rPr>
                <w:rFonts w:ascii="AvenirNext LT Pro Regular" w:hAnsi="AvenirNext LT Pro Regular"/>
                <w:b/>
                <w:sz w:val="24"/>
              </w:rPr>
            </w:pPr>
            <w:proofErr w:type="spellStart"/>
            <w:r w:rsidRPr="00B71E34">
              <w:rPr>
                <w:rFonts w:ascii="AvenirNext LT Pro Regular" w:hAnsi="AvenirNext LT Pro Regular"/>
                <w:b/>
                <w:sz w:val="18"/>
              </w:rPr>
              <w:t>Linea</w:t>
            </w:r>
            <w:proofErr w:type="spellEnd"/>
            <w:r w:rsidRPr="00B71E34">
              <w:rPr>
                <w:rFonts w:ascii="AvenirNext LT Pro Regular" w:hAnsi="AvenirNext LT Pro Regular"/>
                <w:b/>
                <w:sz w:val="18"/>
              </w:rPr>
              <w:t xml:space="preserve"> de Acción</w:t>
            </w:r>
          </w:p>
        </w:tc>
        <w:tc>
          <w:tcPr>
            <w:tcW w:w="425" w:type="dxa"/>
            <w:vAlign w:val="center"/>
          </w:tcPr>
          <w:p w:rsidR="00423921" w:rsidRPr="00B97EE2" w:rsidRDefault="00423921" w:rsidP="00423921">
            <w:pPr>
              <w:spacing w:after="0"/>
              <w:jc w:val="center"/>
              <w:rPr>
                <w:rFonts w:ascii="AvenirNext LT Pro Regular" w:hAnsi="AvenirNext LT Pro Regular"/>
                <w:b/>
                <w:sz w:val="14"/>
              </w:rPr>
            </w:pPr>
            <w:r w:rsidRPr="00B97EE2">
              <w:rPr>
                <w:rFonts w:ascii="AvenirNext LT Pro Regular" w:hAnsi="AvenirNext LT Pro Regular"/>
                <w:b/>
                <w:sz w:val="14"/>
              </w:rPr>
              <w:t>Ene</w:t>
            </w:r>
          </w:p>
        </w:tc>
        <w:tc>
          <w:tcPr>
            <w:tcW w:w="426" w:type="dxa"/>
            <w:vAlign w:val="center"/>
          </w:tcPr>
          <w:p w:rsidR="00423921" w:rsidRPr="00B97EE2" w:rsidRDefault="00423921" w:rsidP="00423921">
            <w:pPr>
              <w:spacing w:after="0"/>
              <w:jc w:val="center"/>
              <w:rPr>
                <w:b/>
              </w:rPr>
            </w:pPr>
            <w:r w:rsidRPr="00B97EE2">
              <w:rPr>
                <w:rFonts w:ascii="AvenirNext LT Pro Regular" w:hAnsi="AvenirNext LT Pro Regular"/>
                <w:b/>
                <w:sz w:val="14"/>
              </w:rPr>
              <w:t>Feb</w:t>
            </w:r>
          </w:p>
        </w:tc>
        <w:tc>
          <w:tcPr>
            <w:tcW w:w="425" w:type="dxa"/>
            <w:vAlign w:val="center"/>
          </w:tcPr>
          <w:p w:rsidR="00423921" w:rsidRPr="00B97EE2" w:rsidRDefault="00423921" w:rsidP="00423921">
            <w:pPr>
              <w:spacing w:after="0"/>
              <w:jc w:val="center"/>
              <w:rPr>
                <w:b/>
              </w:rPr>
            </w:pPr>
            <w:r w:rsidRPr="00B97EE2">
              <w:rPr>
                <w:rFonts w:ascii="AvenirNext LT Pro Regular" w:hAnsi="AvenirNext LT Pro Regular"/>
                <w:b/>
                <w:sz w:val="14"/>
              </w:rPr>
              <w:t>Mar</w:t>
            </w:r>
          </w:p>
        </w:tc>
        <w:tc>
          <w:tcPr>
            <w:tcW w:w="425" w:type="dxa"/>
            <w:vAlign w:val="center"/>
          </w:tcPr>
          <w:p w:rsidR="00423921" w:rsidRPr="00B97EE2" w:rsidRDefault="00423921" w:rsidP="00423921">
            <w:pPr>
              <w:spacing w:after="0"/>
              <w:jc w:val="center"/>
              <w:rPr>
                <w:b/>
              </w:rPr>
            </w:pPr>
            <w:r w:rsidRPr="00B97EE2">
              <w:rPr>
                <w:rFonts w:ascii="AvenirNext LT Pro Regular" w:hAnsi="AvenirNext LT Pro Regular"/>
                <w:b/>
                <w:sz w:val="14"/>
              </w:rPr>
              <w:t>Abr</w:t>
            </w:r>
          </w:p>
        </w:tc>
        <w:tc>
          <w:tcPr>
            <w:tcW w:w="425" w:type="dxa"/>
            <w:vAlign w:val="center"/>
          </w:tcPr>
          <w:p w:rsidR="00423921" w:rsidRPr="00B97EE2" w:rsidRDefault="00423921" w:rsidP="00423921">
            <w:pPr>
              <w:spacing w:after="0"/>
              <w:jc w:val="center"/>
              <w:rPr>
                <w:b/>
              </w:rPr>
            </w:pPr>
            <w:proofErr w:type="spellStart"/>
            <w:r w:rsidRPr="00B97EE2">
              <w:rPr>
                <w:rFonts w:ascii="AvenirNext LT Pro Regular" w:hAnsi="AvenirNext LT Pro Regular"/>
                <w:b/>
                <w:sz w:val="14"/>
              </w:rPr>
              <w:t>May</w:t>
            </w:r>
            <w:proofErr w:type="spellEnd"/>
          </w:p>
        </w:tc>
        <w:tc>
          <w:tcPr>
            <w:tcW w:w="426" w:type="dxa"/>
            <w:vAlign w:val="center"/>
          </w:tcPr>
          <w:p w:rsidR="00423921" w:rsidRPr="00B97EE2" w:rsidRDefault="00423921" w:rsidP="00423921">
            <w:pPr>
              <w:spacing w:after="0"/>
              <w:jc w:val="center"/>
              <w:rPr>
                <w:b/>
              </w:rPr>
            </w:pPr>
            <w:r w:rsidRPr="00B97EE2">
              <w:rPr>
                <w:rFonts w:ascii="AvenirNext LT Pro Regular" w:hAnsi="AvenirNext LT Pro Regular"/>
                <w:b/>
                <w:sz w:val="14"/>
              </w:rPr>
              <w:t>Jun</w:t>
            </w:r>
          </w:p>
        </w:tc>
        <w:tc>
          <w:tcPr>
            <w:tcW w:w="425" w:type="dxa"/>
            <w:vAlign w:val="center"/>
          </w:tcPr>
          <w:p w:rsidR="00423921" w:rsidRPr="00B97EE2" w:rsidRDefault="00423921" w:rsidP="00423921">
            <w:pPr>
              <w:spacing w:after="0"/>
              <w:jc w:val="center"/>
              <w:rPr>
                <w:b/>
              </w:rPr>
            </w:pPr>
            <w:r w:rsidRPr="00B97EE2">
              <w:rPr>
                <w:rFonts w:ascii="AvenirNext LT Pro Regular" w:hAnsi="AvenirNext LT Pro Regular"/>
                <w:b/>
                <w:sz w:val="14"/>
              </w:rPr>
              <w:t>Jul</w:t>
            </w:r>
          </w:p>
        </w:tc>
        <w:tc>
          <w:tcPr>
            <w:tcW w:w="425" w:type="dxa"/>
            <w:vAlign w:val="center"/>
          </w:tcPr>
          <w:p w:rsidR="00423921" w:rsidRPr="00B97EE2" w:rsidRDefault="00423921" w:rsidP="00423921">
            <w:pPr>
              <w:spacing w:after="0"/>
              <w:jc w:val="center"/>
              <w:rPr>
                <w:b/>
              </w:rPr>
            </w:pPr>
            <w:proofErr w:type="spellStart"/>
            <w:r w:rsidRPr="00B97EE2">
              <w:rPr>
                <w:rFonts w:ascii="AvenirNext LT Pro Regular" w:hAnsi="AvenirNext LT Pro Regular"/>
                <w:b/>
                <w:sz w:val="14"/>
              </w:rPr>
              <w:t>Ago</w:t>
            </w:r>
            <w:proofErr w:type="spellEnd"/>
          </w:p>
        </w:tc>
        <w:tc>
          <w:tcPr>
            <w:tcW w:w="425" w:type="dxa"/>
            <w:vAlign w:val="center"/>
          </w:tcPr>
          <w:p w:rsidR="00423921" w:rsidRPr="00B97EE2" w:rsidRDefault="00423921" w:rsidP="00423921">
            <w:pPr>
              <w:spacing w:after="0"/>
              <w:jc w:val="center"/>
              <w:rPr>
                <w:b/>
              </w:rPr>
            </w:pPr>
            <w:proofErr w:type="spellStart"/>
            <w:r w:rsidRPr="00B97EE2">
              <w:rPr>
                <w:rFonts w:ascii="AvenirNext LT Pro Regular" w:hAnsi="AvenirNext LT Pro Regular"/>
                <w:b/>
                <w:sz w:val="14"/>
              </w:rPr>
              <w:t>Sep</w:t>
            </w:r>
            <w:proofErr w:type="spellEnd"/>
          </w:p>
        </w:tc>
        <w:tc>
          <w:tcPr>
            <w:tcW w:w="426" w:type="dxa"/>
            <w:vAlign w:val="center"/>
          </w:tcPr>
          <w:p w:rsidR="00423921" w:rsidRPr="00B97EE2" w:rsidRDefault="00423921" w:rsidP="00423921">
            <w:pPr>
              <w:spacing w:after="0"/>
              <w:jc w:val="center"/>
              <w:rPr>
                <w:b/>
              </w:rPr>
            </w:pPr>
            <w:r w:rsidRPr="00B97EE2">
              <w:rPr>
                <w:rFonts w:ascii="AvenirNext LT Pro Regular" w:hAnsi="AvenirNext LT Pro Regular"/>
                <w:b/>
                <w:sz w:val="14"/>
              </w:rPr>
              <w:t>Oct</w:t>
            </w:r>
          </w:p>
        </w:tc>
        <w:tc>
          <w:tcPr>
            <w:tcW w:w="425" w:type="dxa"/>
            <w:vAlign w:val="center"/>
          </w:tcPr>
          <w:p w:rsidR="00423921" w:rsidRPr="00B97EE2" w:rsidRDefault="00423921" w:rsidP="00423921">
            <w:pPr>
              <w:spacing w:after="0"/>
              <w:jc w:val="center"/>
              <w:rPr>
                <w:b/>
              </w:rPr>
            </w:pPr>
            <w:r w:rsidRPr="00B97EE2">
              <w:rPr>
                <w:rFonts w:ascii="AvenirNext LT Pro Regular" w:hAnsi="AvenirNext LT Pro Regular"/>
                <w:b/>
                <w:sz w:val="14"/>
              </w:rPr>
              <w:t>Nov</w:t>
            </w:r>
          </w:p>
        </w:tc>
        <w:tc>
          <w:tcPr>
            <w:tcW w:w="441" w:type="dxa"/>
            <w:vAlign w:val="center"/>
          </w:tcPr>
          <w:p w:rsidR="00423921" w:rsidRPr="00B97EE2" w:rsidRDefault="00423921" w:rsidP="00423921">
            <w:pPr>
              <w:spacing w:after="0"/>
              <w:jc w:val="center"/>
              <w:rPr>
                <w:rFonts w:ascii="AvenirNext LT Pro Regular" w:hAnsi="AvenirNext LT Pro Regular"/>
                <w:b/>
                <w:sz w:val="14"/>
              </w:rPr>
            </w:pPr>
            <w:r w:rsidRPr="00B97EE2">
              <w:rPr>
                <w:rFonts w:ascii="AvenirNext LT Pro Regular" w:hAnsi="AvenirNext LT Pro Regular"/>
                <w:b/>
                <w:sz w:val="14"/>
              </w:rPr>
              <w:t>Dic</w:t>
            </w:r>
          </w:p>
        </w:tc>
        <w:tc>
          <w:tcPr>
            <w:tcW w:w="1151" w:type="dxa"/>
            <w:vAlign w:val="center"/>
          </w:tcPr>
          <w:p w:rsidR="00423921" w:rsidRPr="00423921" w:rsidRDefault="00423921" w:rsidP="00423921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Producto esperado</w:t>
            </w:r>
          </w:p>
        </w:tc>
        <w:tc>
          <w:tcPr>
            <w:tcW w:w="541" w:type="dxa"/>
            <w:vAlign w:val="center"/>
          </w:tcPr>
          <w:p w:rsidR="00423921" w:rsidRPr="00423921" w:rsidRDefault="00423921" w:rsidP="00423921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 w:rsidRPr="00423921">
              <w:rPr>
                <w:rFonts w:ascii="AvenirNext LT Pro Regular" w:hAnsi="AvenirNext LT Pro Regular"/>
                <w:sz w:val="16"/>
              </w:rPr>
              <w:t>Meta anual</w:t>
            </w:r>
          </w:p>
        </w:tc>
        <w:tc>
          <w:tcPr>
            <w:tcW w:w="1127" w:type="dxa"/>
          </w:tcPr>
          <w:p w:rsidR="00423921" w:rsidRDefault="00423921" w:rsidP="00423921">
            <w:pPr>
              <w:spacing w:after="0"/>
              <w:jc w:val="both"/>
              <w:rPr>
                <w:rFonts w:ascii="AvenirNext LT Pro Regular" w:hAnsi="AvenirNext LT Pro Regular"/>
                <w:sz w:val="24"/>
              </w:rPr>
            </w:pPr>
            <w:r w:rsidRPr="00423921">
              <w:rPr>
                <w:rFonts w:ascii="AvenirNext LT Pro Regular" w:hAnsi="AvenirNext LT Pro Regular"/>
                <w:sz w:val="16"/>
              </w:rPr>
              <w:t>Partida presupuestal</w:t>
            </w:r>
          </w:p>
        </w:tc>
      </w:tr>
      <w:tr w:rsidR="00B24E87" w:rsidTr="00B24E87">
        <w:trPr>
          <w:trHeight w:val="843"/>
        </w:trPr>
        <w:tc>
          <w:tcPr>
            <w:tcW w:w="2694" w:type="dxa"/>
          </w:tcPr>
          <w:p w:rsidR="00A070E1" w:rsidRPr="00423921" w:rsidRDefault="00A070E1" w:rsidP="00423921">
            <w:pPr>
              <w:pStyle w:val="Prrafodelista"/>
              <w:numPr>
                <w:ilvl w:val="0"/>
                <w:numId w:val="2"/>
              </w:numPr>
              <w:spacing w:after="0"/>
              <w:ind w:left="213" w:hanging="283"/>
              <w:jc w:val="both"/>
              <w:rPr>
                <w:rFonts w:ascii="AvenirNext LT Pro Regular" w:hAnsi="AvenirNext LT Pro Regular"/>
                <w:sz w:val="16"/>
              </w:rPr>
            </w:pPr>
            <w:r w:rsidRPr="00423921">
              <w:rPr>
                <w:rFonts w:ascii="AvenirNext LT Pro Regular" w:hAnsi="AvenirNext LT Pro Regular"/>
                <w:sz w:val="16"/>
              </w:rPr>
              <w:t>Verificar el cumplimiento de indicadores de avance y gestión financiera de la Hacienda Municipal.</w:t>
            </w: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41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1151" w:type="dxa"/>
            <w:vAlign w:val="center"/>
          </w:tcPr>
          <w:p w:rsidR="00A070E1" w:rsidRPr="0042392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 w:rsidRPr="00423921">
              <w:rPr>
                <w:rFonts w:ascii="AvenirNext LT Pro Regular" w:hAnsi="AvenirNext LT Pro Regular"/>
                <w:sz w:val="16"/>
              </w:rPr>
              <w:t>Auditoria</w:t>
            </w:r>
          </w:p>
        </w:tc>
        <w:tc>
          <w:tcPr>
            <w:tcW w:w="541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16"/>
              </w:rPr>
              <w:t>3</w:t>
            </w:r>
          </w:p>
        </w:tc>
        <w:tc>
          <w:tcPr>
            <w:tcW w:w="1127" w:type="dxa"/>
            <w:vMerge w:val="restart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 w:rsidRPr="00423921">
              <w:rPr>
                <w:rFonts w:ascii="AvenirNext LT Pro Regular" w:hAnsi="AvenirNext LT Pro Regular"/>
                <w:sz w:val="16"/>
              </w:rPr>
              <w:t>1000 (Servicios Personales)</w:t>
            </w:r>
          </w:p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 w:rsidRPr="00423921">
              <w:rPr>
                <w:rFonts w:ascii="AvenirNext LT Pro Regular" w:hAnsi="AvenirNext LT Pro Regular"/>
                <w:sz w:val="16"/>
              </w:rPr>
              <w:t>1000 (Servicios Personales)</w:t>
            </w:r>
          </w:p>
        </w:tc>
      </w:tr>
      <w:tr w:rsidR="00B24E87" w:rsidTr="00B24E87">
        <w:trPr>
          <w:trHeight w:val="843"/>
        </w:trPr>
        <w:tc>
          <w:tcPr>
            <w:tcW w:w="2694" w:type="dxa"/>
          </w:tcPr>
          <w:p w:rsidR="00A070E1" w:rsidRPr="00423921" w:rsidRDefault="00A070E1" w:rsidP="00423921">
            <w:pPr>
              <w:pStyle w:val="Prrafodelista"/>
              <w:numPr>
                <w:ilvl w:val="0"/>
                <w:numId w:val="2"/>
              </w:numPr>
              <w:spacing w:after="0"/>
              <w:ind w:left="213" w:hanging="283"/>
              <w:jc w:val="both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 xml:space="preserve">Elaborar el padrón de declaración patrimonial para el ejercicio fiscal 2020, en </w:t>
            </w:r>
            <w:proofErr w:type="spellStart"/>
            <w:r>
              <w:rPr>
                <w:rFonts w:ascii="AvenirNext LT Pro Regular" w:hAnsi="AvenirNext LT Pro Regular"/>
                <w:sz w:val="16"/>
              </w:rPr>
              <w:t>Tecalitlán</w:t>
            </w:r>
            <w:proofErr w:type="spellEnd"/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6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A070E1" w:rsidRP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 w:rsidRPr="00A070E1">
              <w:rPr>
                <w:rFonts w:ascii="AvenirNext LT Pro Regular" w:hAnsi="AvenirNext LT Pro Regular"/>
                <w:sz w:val="16"/>
              </w:rPr>
              <w:t>X</w:t>
            </w:r>
          </w:p>
        </w:tc>
        <w:tc>
          <w:tcPr>
            <w:tcW w:w="425" w:type="dxa"/>
            <w:vAlign w:val="center"/>
          </w:tcPr>
          <w:p w:rsidR="00A070E1" w:rsidRP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 w:rsidRPr="00A070E1">
              <w:rPr>
                <w:rFonts w:ascii="AvenirNext LT Pro Regular" w:hAnsi="AvenirNext LT Pro Regular"/>
                <w:sz w:val="16"/>
              </w:rPr>
              <w:t>X</w:t>
            </w:r>
          </w:p>
        </w:tc>
        <w:tc>
          <w:tcPr>
            <w:tcW w:w="426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6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41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1151" w:type="dxa"/>
            <w:vAlign w:val="center"/>
          </w:tcPr>
          <w:p w:rsidR="00A070E1" w:rsidRPr="0042392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Padrón</w:t>
            </w:r>
          </w:p>
        </w:tc>
        <w:tc>
          <w:tcPr>
            <w:tcW w:w="541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1</w:t>
            </w:r>
          </w:p>
        </w:tc>
        <w:tc>
          <w:tcPr>
            <w:tcW w:w="1127" w:type="dxa"/>
            <w:vMerge/>
            <w:vAlign w:val="center"/>
          </w:tcPr>
          <w:p w:rsidR="00A070E1" w:rsidRPr="0042392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</w:tr>
      <w:tr w:rsidR="00B24E87" w:rsidTr="00B24E87">
        <w:trPr>
          <w:trHeight w:val="843"/>
        </w:trPr>
        <w:tc>
          <w:tcPr>
            <w:tcW w:w="2694" w:type="dxa"/>
          </w:tcPr>
          <w:p w:rsidR="00A070E1" w:rsidRPr="00423921" w:rsidRDefault="00A070E1" w:rsidP="00423921">
            <w:pPr>
              <w:pStyle w:val="Prrafodelista"/>
              <w:numPr>
                <w:ilvl w:val="0"/>
                <w:numId w:val="2"/>
              </w:numPr>
              <w:spacing w:after="0"/>
              <w:ind w:left="213" w:hanging="224"/>
              <w:jc w:val="both"/>
              <w:rPr>
                <w:rFonts w:ascii="AvenirNext LT Pro Regular" w:hAnsi="AvenirNext LT Pro Regular"/>
                <w:sz w:val="16"/>
              </w:rPr>
            </w:pPr>
            <w:r w:rsidRPr="00423921">
              <w:rPr>
                <w:rFonts w:ascii="AvenirNext LT Pro Regular" w:hAnsi="AvenirNext LT Pro Regular"/>
                <w:sz w:val="16"/>
              </w:rPr>
              <w:t>Impartir talleres de asesoría para la presentación de las declaraciones patrimoniales y de intereses de las y los servidores públicos y fiscalización de los procesos administrativos.</w:t>
            </w: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6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6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41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1151" w:type="dxa"/>
            <w:vAlign w:val="center"/>
          </w:tcPr>
          <w:p w:rsidR="00A070E1" w:rsidRPr="0042392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Capacitación</w:t>
            </w:r>
          </w:p>
        </w:tc>
        <w:tc>
          <w:tcPr>
            <w:tcW w:w="541" w:type="dxa"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16"/>
              </w:rPr>
              <w:t>2</w:t>
            </w:r>
          </w:p>
        </w:tc>
        <w:tc>
          <w:tcPr>
            <w:tcW w:w="1127" w:type="dxa"/>
            <w:vMerge/>
            <w:vAlign w:val="center"/>
          </w:tcPr>
          <w:p w:rsidR="00A070E1" w:rsidRDefault="00A070E1" w:rsidP="00423921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</w:tr>
      <w:tr w:rsidR="0050659C" w:rsidRPr="00A070E1" w:rsidTr="0050659C">
        <w:trPr>
          <w:trHeight w:val="843"/>
        </w:trPr>
        <w:tc>
          <w:tcPr>
            <w:tcW w:w="2694" w:type="dxa"/>
          </w:tcPr>
          <w:p w:rsidR="0050659C" w:rsidRPr="00423921" w:rsidRDefault="0050659C" w:rsidP="0050659C">
            <w:pPr>
              <w:pStyle w:val="Prrafodelista"/>
              <w:numPr>
                <w:ilvl w:val="0"/>
                <w:numId w:val="2"/>
              </w:numPr>
              <w:spacing w:after="0"/>
              <w:ind w:left="213" w:hanging="224"/>
              <w:jc w:val="both"/>
              <w:rPr>
                <w:rFonts w:ascii="AvenirNext LT Pro Regular" w:hAnsi="AvenirNext LT Pro Regular"/>
                <w:sz w:val="16"/>
              </w:rPr>
            </w:pPr>
            <w:bookmarkStart w:id="0" w:name="_GoBack" w:colFirst="15" w:colLast="15"/>
            <w:r w:rsidRPr="00A070E1">
              <w:rPr>
                <w:rFonts w:ascii="AvenirNext LT Pro Regular" w:hAnsi="AvenirNext LT Pro Regular"/>
                <w:sz w:val="16"/>
              </w:rPr>
              <w:t>Generar puntos de atención ciudadana para la recepción de quejas, denuncias y agradecimientos derivadas de las actividades desempeñadas por el servicio público.</w:t>
            </w:r>
          </w:p>
        </w:tc>
        <w:tc>
          <w:tcPr>
            <w:tcW w:w="425" w:type="dxa"/>
            <w:vAlign w:val="center"/>
          </w:tcPr>
          <w:p w:rsidR="0050659C" w:rsidRPr="00A070E1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  <w:tc>
          <w:tcPr>
            <w:tcW w:w="426" w:type="dxa"/>
            <w:vAlign w:val="center"/>
          </w:tcPr>
          <w:p w:rsidR="0050659C" w:rsidRPr="00A070E1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  <w:tc>
          <w:tcPr>
            <w:tcW w:w="425" w:type="dxa"/>
            <w:vAlign w:val="center"/>
          </w:tcPr>
          <w:p w:rsidR="0050659C" w:rsidRPr="00A070E1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  <w:tc>
          <w:tcPr>
            <w:tcW w:w="425" w:type="dxa"/>
            <w:vAlign w:val="center"/>
          </w:tcPr>
          <w:p w:rsidR="0050659C" w:rsidRPr="00A070E1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  <w:tc>
          <w:tcPr>
            <w:tcW w:w="425" w:type="dxa"/>
            <w:vAlign w:val="center"/>
          </w:tcPr>
          <w:p w:rsidR="0050659C" w:rsidRPr="00A070E1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  <w:tc>
          <w:tcPr>
            <w:tcW w:w="426" w:type="dxa"/>
            <w:vAlign w:val="center"/>
          </w:tcPr>
          <w:p w:rsidR="0050659C" w:rsidRPr="00A070E1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 w:rsidRPr="00A070E1"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Pr="00A070E1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 w:rsidRPr="00A070E1"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Pr="00A070E1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  <w:tc>
          <w:tcPr>
            <w:tcW w:w="425" w:type="dxa"/>
            <w:vAlign w:val="center"/>
          </w:tcPr>
          <w:p w:rsidR="0050659C" w:rsidRPr="00A070E1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  <w:tc>
          <w:tcPr>
            <w:tcW w:w="426" w:type="dxa"/>
            <w:vAlign w:val="center"/>
          </w:tcPr>
          <w:p w:rsidR="0050659C" w:rsidRPr="00A070E1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  <w:tc>
          <w:tcPr>
            <w:tcW w:w="425" w:type="dxa"/>
            <w:vAlign w:val="center"/>
          </w:tcPr>
          <w:p w:rsidR="0050659C" w:rsidRPr="00A070E1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  <w:tc>
          <w:tcPr>
            <w:tcW w:w="441" w:type="dxa"/>
            <w:vAlign w:val="center"/>
          </w:tcPr>
          <w:p w:rsidR="0050659C" w:rsidRPr="00A070E1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  <w:tc>
          <w:tcPr>
            <w:tcW w:w="115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Buzón de quejas</w:t>
            </w:r>
          </w:p>
        </w:tc>
        <w:tc>
          <w:tcPr>
            <w:tcW w:w="54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5</w:t>
            </w:r>
          </w:p>
        </w:tc>
        <w:tc>
          <w:tcPr>
            <w:tcW w:w="1127" w:type="dxa"/>
            <w:vMerge w:val="restart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2000</w:t>
            </w:r>
          </w:p>
          <w:p w:rsidR="0050659C" w:rsidRPr="00A070E1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(Gastos Operativos)</w:t>
            </w:r>
          </w:p>
        </w:tc>
      </w:tr>
      <w:bookmarkEnd w:id="0"/>
      <w:tr w:rsidR="0050659C" w:rsidRPr="00A070E1" w:rsidTr="00B24E87">
        <w:trPr>
          <w:trHeight w:val="843"/>
        </w:trPr>
        <w:tc>
          <w:tcPr>
            <w:tcW w:w="2694" w:type="dxa"/>
          </w:tcPr>
          <w:p w:rsidR="0050659C" w:rsidRPr="00A070E1" w:rsidRDefault="0050659C" w:rsidP="0050659C">
            <w:pPr>
              <w:pStyle w:val="Prrafodelista"/>
              <w:numPr>
                <w:ilvl w:val="0"/>
                <w:numId w:val="2"/>
              </w:numPr>
              <w:spacing w:after="0"/>
              <w:ind w:left="213" w:hanging="224"/>
              <w:jc w:val="both"/>
              <w:rPr>
                <w:rFonts w:ascii="AvenirNext LT Pro Regular" w:hAnsi="AvenirNext LT Pro Regular"/>
                <w:sz w:val="16"/>
              </w:rPr>
            </w:pPr>
            <w:r w:rsidRPr="00A070E1">
              <w:rPr>
                <w:rFonts w:ascii="AvenirNext LT Pro Regular" w:hAnsi="AvenirNext LT Pro Regular"/>
                <w:sz w:val="16"/>
              </w:rPr>
              <w:t xml:space="preserve">Actuar como vigilante en los procesos de adquisición de bienes y servicios que permitan identificar y evaluar </w:t>
            </w:r>
            <w:r>
              <w:rPr>
                <w:rFonts w:ascii="AvenirNext LT Pro Regular" w:hAnsi="AvenirNext LT Pro Regular"/>
                <w:sz w:val="16"/>
              </w:rPr>
              <w:t xml:space="preserve">posibles </w:t>
            </w:r>
            <w:r w:rsidRPr="00A070E1">
              <w:rPr>
                <w:rFonts w:ascii="AvenirNext LT Pro Regular" w:hAnsi="AvenirNext LT Pro Regular"/>
                <w:sz w:val="16"/>
              </w:rPr>
              <w:t>riesg</w:t>
            </w:r>
            <w:r>
              <w:rPr>
                <w:rFonts w:ascii="AvenirNext LT Pro Regular" w:hAnsi="AvenirNext LT Pro Regular"/>
                <w:sz w:val="16"/>
              </w:rPr>
              <w:t>os.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4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115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Auditorias de cumplimiento</w:t>
            </w:r>
          </w:p>
        </w:tc>
        <w:tc>
          <w:tcPr>
            <w:tcW w:w="54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2</w:t>
            </w:r>
          </w:p>
        </w:tc>
        <w:tc>
          <w:tcPr>
            <w:tcW w:w="1127" w:type="dxa"/>
            <w:vMerge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</w:tr>
      <w:tr w:rsidR="0050659C" w:rsidRPr="00A070E1" w:rsidTr="00B24E87">
        <w:trPr>
          <w:trHeight w:val="843"/>
        </w:trPr>
        <w:tc>
          <w:tcPr>
            <w:tcW w:w="2694" w:type="dxa"/>
          </w:tcPr>
          <w:p w:rsidR="0050659C" w:rsidRPr="00A070E1" w:rsidRDefault="0050659C" w:rsidP="0050659C">
            <w:pPr>
              <w:pStyle w:val="Prrafodelista"/>
              <w:numPr>
                <w:ilvl w:val="0"/>
                <w:numId w:val="2"/>
              </w:numPr>
              <w:spacing w:after="0"/>
              <w:ind w:left="213" w:hanging="224"/>
              <w:jc w:val="both"/>
              <w:rPr>
                <w:rFonts w:ascii="AvenirNext LT Pro Regular" w:hAnsi="AvenirNext LT Pro Regular"/>
                <w:sz w:val="16"/>
              </w:rPr>
            </w:pPr>
            <w:r w:rsidRPr="00B24E87">
              <w:rPr>
                <w:rFonts w:ascii="AvenirNext LT Pro Regular" w:hAnsi="AvenirNext LT Pro Regular"/>
                <w:sz w:val="16"/>
              </w:rPr>
              <w:lastRenderedPageBreak/>
              <w:t>Actuar como vigilante en los procesos de adjudicación y ejecución de obra pública que permitan identificar y evaluar los riesgos críticos que pueden impactar negativamente el logro de los objetivos, metas y programas</w:t>
            </w:r>
            <w:r>
              <w:rPr>
                <w:rFonts w:ascii="AvenirNext LT Pro Regular" w:hAnsi="AvenirNext LT Pro Regular"/>
                <w:sz w:val="16"/>
              </w:rPr>
              <w:t>.</w:t>
            </w:r>
            <w:r w:rsidRPr="00B24E87">
              <w:rPr>
                <w:rFonts w:ascii="AvenirNext LT Pro Regular" w:hAnsi="AvenirNext LT Pro Regular"/>
                <w:sz w:val="16"/>
              </w:rPr>
              <w:t xml:space="preserve"> 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4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1151" w:type="dxa"/>
            <w:vAlign w:val="center"/>
          </w:tcPr>
          <w:p w:rsidR="0050659C" w:rsidRDefault="0050659C" w:rsidP="0050659C">
            <w:pPr>
              <w:spacing w:after="0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Auditorías a la Obra Pública</w:t>
            </w:r>
          </w:p>
        </w:tc>
        <w:tc>
          <w:tcPr>
            <w:tcW w:w="54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3</w:t>
            </w:r>
          </w:p>
        </w:tc>
        <w:tc>
          <w:tcPr>
            <w:tcW w:w="1127" w:type="dxa"/>
            <w:vMerge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</w:tr>
      <w:tr w:rsidR="0050659C" w:rsidRPr="00A070E1" w:rsidTr="00B24E87">
        <w:trPr>
          <w:trHeight w:val="843"/>
        </w:trPr>
        <w:tc>
          <w:tcPr>
            <w:tcW w:w="2694" w:type="dxa"/>
          </w:tcPr>
          <w:p w:rsidR="0050659C" w:rsidRPr="00B24E87" w:rsidRDefault="0050659C" w:rsidP="0050659C">
            <w:pPr>
              <w:pStyle w:val="Prrafodelista"/>
              <w:numPr>
                <w:ilvl w:val="0"/>
                <w:numId w:val="2"/>
              </w:numPr>
              <w:spacing w:after="0"/>
              <w:ind w:left="213" w:hanging="224"/>
              <w:jc w:val="both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lastRenderedPageBreak/>
              <w:t>Recepción y revisión de las declaraciones patrimoniales 2020. Y cumplimiento con sistema Nacional Anticorrupción mediante una plataforma de declaraciones.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4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1151" w:type="dxa"/>
            <w:vAlign w:val="center"/>
          </w:tcPr>
          <w:p w:rsidR="0050659C" w:rsidRDefault="0050659C" w:rsidP="0050659C">
            <w:pPr>
              <w:spacing w:after="0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4"/>
              </w:rPr>
              <w:t>Plataforma de declaraciones patrimoniales.</w:t>
            </w:r>
          </w:p>
        </w:tc>
        <w:tc>
          <w:tcPr>
            <w:tcW w:w="54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1</w:t>
            </w:r>
          </w:p>
        </w:tc>
        <w:tc>
          <w:tcPr>
            <w:tcW w:w="1127" w:type="dxa"/>
            <w:vMerge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</w:tr>
      <w:tr w:rsidR="0050659C" w:rsidRPr="00A070E1" w:rsidTr="00B24E87">
        <w:trPr>
          <w:trHeight w:val="843"/>
        </w:trPr>
        <w:tc>
          <w:tcPr>
            <w:tcW w:w="2694" w:type="dxa"/>
          </w:tcPr>
          <w:p w:rsidR="0050659C" w:rsidRDefault="0050659C" w:rsidP="0050659C">
            <w:pPr>
              <w:pStyle w:val="Prrafodelista"/>
              <w:numPr>
                <w:ilvl w:val="0"/>
                <w:numId w:val="2"/>
              </w:numPr>
              <w:spacing w:after="0"/>
              <w:ind w:left="213" w:hanging="224"/>
              <w:jc w:val="both"/>
              <w:rPr>
                <w:rFonts w:ascii="AvenirNext LT Pro Regular" w:hAnsi="AvenirNext LT Pro Regular"/>
                <w:sz w:val="16"/>
              </w:rPr>
            </w:pPr>
            <w:r w:rsidRPr="00BC1FEE">
              <w:rPr>
                <w:rFonts w:ascii="AvenirNext LT Pro Regular" w:hAnsi="AvenirNext LT Pro Regular"/>
                <w:sz w:val="16"/>
              </w:rPr>
              <w:t xml:space="preserve">Verificar el cumplimiento de indicadores de avance y gestión financiera </w:t>
            </w:r>
            <w:r>
              <w:rPr>
                <w:rFonts w:ascii="AvenirNext LT Pro Regular" w:hAnsi="AvenirNext LT Pro Regular"/>
                <w:sz w:val="16"/>
              </w:rPr>
              <w:t xml:space="preserve">del OPD SMDIF </w:t>
            </w:r>
            <w:proofErr w:type="spellStart"/>
            <w:r>
              <w:rPr>
                <w:rFonts w:ascii="AvenirNext LT Pro Regular" w:hAnsi="AvenirNext LT Pro Regular"/>
                <w:sz w:val="16"/>
              </w:rPr>
              <w:t>Tecalitlán</w:t>
            </w:r>
            <w:proofErr w:type="spellEnd"/>
            <w:r>
              <w:rPr>
                <w:rFonts w:ascii="AvenirNext LT Pro Regular" w:hAnsi="AvenirNext LT Pro Regular"/>
                <w:sz w:val="16"/>
              </w:rPr>
              <w:t>.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</w:p>
        </w:tc>
        <w:tc>
          <w:tcPr>
            <w:tcW w:w="426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</w:p>
        </w:tc>
        <w:tc>
          <w:tcPr>
            <w:tcW w:w="425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</w:p>
        </w:tc>
        <w:tc>
          <w:tcPr>
            <w:tcW w:w="425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</w:p>
        </w:tc>
        <w:tc>
          <w:tcPr>
            <w:tcW w:w="426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4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1151" w:type="dxa"/>
            <w:vAlign w:val="center"/>
          </w:tcPr>
          <w:p w:rsidR="0050659C" w:rsidRPr="00BC1FEE" w:rsidRDefault="0050659C" w:rsidP="0050659C">
            <w:pPr>
              <w:spacing w:after="0"/>
              <w:rPr>
                <w:rFonts w:ascii="AvenirNext LT Pro Regular" w:hAnsi="AvenirNext LT Pro Regular"/>
                <w:sz w:val="14"/>
              </w:rPr>
            </w:pPr>
            <w:r>
              <w:rPr>
                <w:rFonts w:ascii="AvenirNext LT Pro Regular" w:hAnsi="AvenirNext LT Pro Regular"/>
                <w:sz w:val="14"/>
              </w:rPr>
              <w:t>Auditorias de cumplimiento</w:t>
            </w:r>
          </w:p>
        </w:tc>
        <w:tc>
          <w:tcPr>
            <w:tcW w:w="54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3</w:t>
            </w:r>
          </w:p>
        </w:tc>
        <w:tc>
          <w:tcPr>
            <w:tcW w:w="1127" w:type="dxa"/>
            <w:vMerge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</w:tr>
      <w:tr w:rsidR="0050659C" w:rsidRPr="00A070E1" w:rsidTr="00B24E87">
        <w:trPr>
          <w:trHeight w:val="843"/>
        </w:trPr>
        <w:tc>
          <w:tcPr>
            <w:tcW w:w="2694" w:type="dxa"/>
          </w:tcPr>
          <w:p w:rsidR="0050659C" w:rsidRPr="00BC1FEE" w:rsidRDefault="0050659C" w:rsidP="0050659C">
            <w:pPr>
              <w:pStyle w:val="Prrafodelista"/>
              <w:numPr>
                <w:ilvl w:val="0"/>
                <w:numId w:val="2"/>
              </w:numPr>
              <w:spacing w:after="0"/>
              <w:ind w:left="213" w:hanging="224"/>
              <w:jc w:val="both"/>
              <w:rPr>
                <w:rFonts w:ascii="AvenirNext LT Pro Regular" w:hAnsi="AvenirNext LT Pro Regular"/>
                <w:sz w:val="16"/>
              </w:rPr>
            </w:pPr>
            <w:r w:rsidRPr="00BC1FEE">
              <w:rPr>
                <w:rFonts w:ascii="AvenirNext LT Pro Regular" w:hAnsi="AvenirNext LT Pro Regular"/>
                <w:sz w:val="16"/>
              </w:rPr>
              <w:t xml:space="preserve">Verificar el cumplimiento de indicadores de avance y gestión financiera </w:t>
            </w:r>
            <w:r>
              <w:rPr>
                <w:rFonts w:ascii="AvenirNext LT Pro Regular" w:hAnsi="AvenirNext LT Pro Regular"/>
                <w:sz w:val="16"/>
              </w:rPr>
              <w:t xml:space="preserve">del OPD Instituto de la Mujer </w:t>
            </w:r>
            <w:proofErr w:type="spellStart"/>
            <w:r>
              <w:rPr>
                <w:rFonts w:ascii="AvenirNext LT Pro Regular" w:hAnsi="AvenirNext LT Pro Regular"/>
                <w:sz w:val="16"/>
              </w:rPr>
              <w:t>Tecalitlense</w:t>
            </w:r>
            <w:proofErr w:type="spellEnd"/>
            <w:r>
              <w:rPr>
                <w:rFonts w:ascii="AvenirNext LT Pro Regular" w:hAnsi="AvenirNext LT Pro Regular"/>
                <w:sz w:val="16"/>
              </w:rPr>
              <w:t>.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25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</w:p>
        </w:tc>
        <w:tc>
          <w:tcPr>
            <w:tcW w:w="425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</w:p>
        </w:tc>
        <w:tc>
          <w:tcPr>
            <w:tcW w:w="426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  <w:r>
              <w:rPr>
                <w:rFonts w:ascii="AvenirNext LT Pro Regular" w:hAnsi="AvenirNext LT Pro Regular"/>
                <w:sz w:val="18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</w:p>
        </w:tc>
        <w:tc>
          <w:tcPr>
            <w:tcW w:w="425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</w:p>
        </w:tc>
        <w:tc>
          <w:tcPr>
            <w:tcW w:w="425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</w:p>
        </w:tc>
        <w:tc>
          <w:tcPr>
            <w:tcW w:w="426" w:type="dxa"/>
            <w:vAlign w:val="center"/>
          </w:tcPr>
          <w:p w:rsidR="0050659C" w:rsidRPr="00BC1FEE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8"/>
              </w:rPr>
            </w:pP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</w:p>
        </w:tc>
        <w:tc>
          <w:tcPr>
            <w:tcW w:w="44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1151" w:type="dxa"/>
            <w:vAlign w:val="center"/>
          </w:tcPr>
          <w:p w:rsidR="0050659C" w:rsidRDefault="0050659C" w:rsidP="0050659C">
            <w:pPr>
              <w:spacing w:after="0"/>
              <w:rPr>
                <w:rFonts w:ascii="AvenirNext LT Pro Regular" w:hAnsi="AvenirNext LT Pro Regular"/>
                <w:sz w:val="14"/>
              </w:rPr>
            </w:pPr>
            <w:r>
              <w:rPr>
                <w:rFonts w:ascii="AvenirNext LT Pro Regular" w:hAnsi="AvenirNext LT Pro Regular"/>
                <w:sz w:val="14"/>
              </w:rPr>
              <w:t>Auditorias de cumplimiento</w:t>
            </w:r>
          </w:p>
        </w:tc>
        <w:tc>
          <w:tcPr>
            <w:tcW w:w="54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2</w:t>
            </w:r>
          </w:p>
        </w:tc>
        <w:tc>
          <w:tcPr>
            <w:tcW w:w="1127" w:type="dxa"/>
            <w:vMerge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</w:tr>
      <w:tr w:rsidR="0050659C" w:rsidRPr="00A070E1" w:rsidTr="0050659C">
        <w:trPr>
          <w:trHeight w:val="843"/>
        </w:trPr>
        <w:tc>
          <w:tcPr>
            <w:tcW w:w="2694" w:type="dxa"/>
          </w:tcPr>
          <w:p w:rsidR="0050659C" w:rsidRPr="00BC1FEE" w:rsidRDefault="0050659C" w:rsidP="0050659C">
            <w:pPr>
              <w:pStyle w:val="Prrafodelista"/>
              <w:numPr>
                <w:ilvl w:val="0"/>
                <w:numId w:val="2"/>
              </w:numPr>
              <w:spacing w:after="0"/>
              <w:ind w:left="213" w:hanging="284"/>
              <w:jc w:val="both"/>
              <w:rPr>
                <w:rFonts w:ascii="AvenirNext LT Pro Regular" w:hAnsi="AvenirNext LT Pro Regular"/>
                <w:sz w:val="16"/>
              </w:rPr>
            </w:pPr>
            <w:r w:rsidRPr="00B71E34">
              <w:rPr>
                <w:rFonts w:ascii="AvenirNext LT Pro Regular" w:hAnsi="AvenirNext LT Pro Regular"/>
                <w:sz w:val="16"/>
              </w:rPr>
              <w:t xml:space="preserve">Vincular el área de control interno con la de transparencia realizando revisiones </w:t>
            </w:r>
            <w:r>
              <w:rPr>
                <w:rFonts w:ascii="AvenirNext LT Pro Regular" w:hAnsi="AvenirNext LT Pro Regular"/>
                <w:sz w:val="16"/>
              </w:rPr>
              <w:t xml:space="preserve">mensuales, y </w:t>
            </w:r>
            <w:r w:rsidRPr="00B71E34">
              <w:rPr>
                <w:rFonts w:ascii="AvenirNext LT Pro Regular" w:hAnsi="AvenirNext LT Pro Regular"/>
                <w:sz w:val="16"/>
              </w:rPr>
              <w:t>anuales de documentos, estadísticas e información digital, para efectos de preservar la actuación de los servidores públicos en el marco de la legislación relacionada con el área.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jc w:val="center"/>
            </w:pPr>
            <w:r w:rsidRPr="00D614BE"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jc w:val="center"/>
            </w:pPr>
            <w:r w:rsidRPr="00D614BE"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jc w:val="center"/>
            </w:pPr>
            <w:r w:rsidRPr="00D614BE"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jc w:val="center"/>
            </w:pPr>
            <w:r w:rsidRPr="00D614BE"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jc w:val="center"/>
            </w:pPr>
            <w:r w:rsidRPr="00D614BE"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jc w:val="center"/>
            </w:pPr>
            <w:r w:rsidRPr="00D614BE"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jc w:val="center"/>
            </w:pPr>
            <w:r w:rsidRPr="00D614BE"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jc w:val="center"/>
            </w:pPr>
            <w:r w:rsidRPr="00D614BE"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jc w:val="center"/>
            </w:pPr>
            <w:r w:rsidRPr="00D614BE"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6" w:type="dxa"/>
            <w:vAlign w:val="center"/>
          </w:tcPr>
          <w:p w:rsidR="0050659C" w:rsidRDefault="0050659C" w:rsidP="0050659C">
            <w:pPr>
              <w:jc w:val="center"/>
            </w:pPr>
            <w:r w:rsidRPr="00D614BE"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25" w:type="dxa"/>
            <w:vAlign w:val="center"/>
          </w:tcPr>
          <w:p w:rsidR="0050659C" w:rsidRDefault="0050659C" w:rsidP="0050659C">
            <w:pPr>
              <w:jc w:val="center"/>
            </w:pPr>
            <w:r w:rsidRPr="00D614BE"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44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24"/>
              </w:rPr>
            </w:pPr>
            <w:r>
              <w:rPr>
                <w:rFonts w:ascii="AvenirNext LT Pro Regular" w:hAnsi="AvenirNext LT Pro Regular"/>
                <w:sz w:val="24"/>
              </w:rPr>
              <w:t>x</w:t>
            </w:r>
          </w:p>
        </w:tc>
        <w:tc>
          <w:tcPr>
            <w:tcW w:w="1151" w:type="dxa"/>
            <w:vAlign w:val="center"/>
          </w:tcPr>
          <w:p w:rsidR="0050659C" w:rsidRDefault="0050659C" w:rsidP="0050659C">
            <w:pPr>
              <w:spacing w:after="0"/>
              <w:rPr>
                <w:rFonts w:ascii="AvenirNext LT Pro Regular" w:hAnsi="AvenirNext LT Pro Regular"/>
                <w:sz w:val="14"/>
              </w:rPr>
            </w:pPr>
            <w:proofErr w:type="spellStart"/>
            <w:r>
              <w:rPr>
                <w:rFonts w:ascii="AvenirNext LT Pro Regular" w:hAnsi="AvenirNext LT Pro Regular"/>
                <w:sz w:val="14"/>
              </w:rPr>
              <w:t>Autidorias</w:t>
            </w:r>
            <w:proofErr w:type="spellEnd"/>
            <w:r>
              <w:rPr>
                <w:rFonts w:ascii="AvenirNext LT Pro Regular" w:hAnsi="AvenirNext LT Pro Regular"/>
                <w:sz w:val="14"/>
              </w:rPr>
              <w:t xml:space="preserve"> mensuales</w:t>
            </w:r>
          </w:p>
        </w:tc>
        <w:tc>
          <w:tcPr>
            <w:tcW w:w="541" w:type="dxa"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  <w:r>
              <w:rPr>
                <w:rFonts w:ascii="AvenirNext LT Pro Regular" w:hAnsi="AvenirNext LT Pro Regular"/>
                <w:sz w:val="16"/>
              </w:rPr>
              <w:t>12</w:t>
            </w:r>
          </w:p>
        </w:tc>
        <w:tc>
          <w:tcPr>
            <w:tcW w:w="1127" w:type="dxa"/>
            <w:vMerge/>
            <w:vAlign w:val="center"/>
          </w:tcPr>
          <w:p w:rsidR="0050659C" w:rsidRDefault="0050659C" w:rsidP="0050659C">
            <w:pPr>
              <w:spacing w:after="0"/>
              <w:jc w:val="center"/>
              <w:rPr>
                <w:rFonts w:ascii="AvenirNext LT Pro Regular" w:hAnsi="AvenirNext LT Pro Regular"/>
                <w:sz w:val="16"/>
              </w:rPr>
            </w:pPr>
          </w:p>
        </w:tc>
      </w:tr>
    </w:tbl>
    <w:p w:rsidR="00B97EE2" w:rsidRPr="00AB73DE" w:rsidRDefault="00B97EE2" w:rsidP="00AB73DE">
      <w:pPr>
        <w:spacing w:after="0"/>
        <w:jc w:val="both"/>
        <w:rPr>
          <w:rFonts w:ascii="AvenirNext LT Pro Regular" w:hAnsi="AvenirNext LT Pro Regular"/>
          <w:sz w:val="24"/>
        </w:rPr>
      </w:pPr>
    </w:p>
    <w:sectPr w:rsidR="00B97EE2" w:rsidRPr="00AB73DE" w:rsidSect="00B24E87">
      <w:headerReference w:type="default" r:id="rId8"/>
      <w:pgSz w:w="12240" w:h="15840"/>
      <w:pgMar w:top="2552" w:right="1701" w:bottom="158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5BC" w:rsidRDefault="00E545BC" w:rsidP="00AB73DE">
      <w:pPr>
        <w:spacing w:after="0" w:line="240" w:lineRule="auto"/>
      </w:pPr>
      <w:r>
        <w:separator/>
      </w:r>
    </w:p>
  </w:endnote>
  <w:endnote w:type="continuationSeparator" w:id="0">
    <w:p w:rsidR="00E545BC" w:rsidRDefault="00E545BC" w:rsidP="00AB7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Next LT Pro Regular">
    <w:panose1 w:val="020B05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5BC" w:rsidRDefault="00E545BC" w:rsidP="00AB73DE">
      <w:pPr>
        <w:spacing w:after="0" w:line="240" w:lineRule="auto"/>
      </w:pPr>
      <w:r>
        <w:separator/>
      </w:r>
    </w:p>
  </w:footnote>
  <w:footnote w:type="continuationSeparator" w:id="0">
    <w:p w:rsidR="00E545BC" w:rsidRDefault="00E545BC" w:rsidP="00AB7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3DE" w:rsidRDefault="00AB73D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8C9A36A" wp14:editId="0A8EDDD9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729538" cy="10015220"/>
          <wp:effectExtent l="0" t="0" r="508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con fondo blanco y escud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9538" cy="10015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F44A8"/>
    <w:multiLevelType w:val="hybridMultilevel"/>
    <w:tmpl w:val="4DB0BC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EC20CE"/>
    <w:multiLevelType w:val="hybridMultilevel"/>
    <w:tmpl w:val="A3C2ED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3DE"/>
    <w:rsid w:val="0016556A"/>
    <w:rsid w:val="00250595"/>
    <w:rsid w:val="00423921"/>
    <w:rsid w:val="0050659C"/>
    <w:rsid w:val="00A070E1"/>
    <w:rsid w:val="00AB73DE"/>
    <w:rsid w:val="00B24E87"/>
    <w:rsid w:val="00B71E34"/>
    <w:rsid w:val="00B97EE2"/>
    <w:rsid w:val="00BA0C9E"/>
    <w:rsid w:val="00BC1FEE"/>
    <w:rsid w:val="00E5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7B287"/>
  <w15:chartTrackingRefBased/>
  <w15:docId w15:val="{E4974201-AB82-4A57-90EA-27178B12E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73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73DE"/>
  </w:style>
  <w:style w:type="paragraph" w:styleId="Piedepgina">
    <w:name w:val="footer"/>
    <w:basedOn w:val="Normal"/>
    <w:link w:val="PiedepginaCar"/>
    <w:uiPriority w:val="99"/>
    <w:unhideWhenUsed/>
    <w:rsid w:val="00AB73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73DE"/>
  </w:style>
  <w:style w:type="paragraph" w:styleId="Prrafodelista">
    <w:name w:val="List Paragraph"/>
    <w:basedOn w:val="Normal"/>
    <w:uiPriority w:val="34"/>
    <w:qFormat/>
    <w:rsid w:val="0042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DDCF2-C668-4A5C-86E7-3FE152480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412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Cárdenas</dc:creator>
  <cp:keywords/>
  <dc:description/>
  <cp:lastModifiedBy>Jorge Cárdenas</cp:lastModifiedBy>
  <cp:revision>4</cp:revision>
  <dcterms:created xsi:type="dcterms:W3CDTF">2020-04-14T18:12:00Z</dcterms:created>
  <dcterms:modified xsi:type="dcterms:W3CDTF">2020-04-14T18:16:00Z</dcterms:modified>
</cp:coreProperties>
</file>